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онкология-гематология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онкология-гематология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Мальчик, возраст – 2 месяца, поступил в гематологическое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кишечные колики,</w:t>
      </w:r>
    </w:p>
    <w:p>
      <w:pPr>
        <w:spacing w:after="58"/>
      </w:pPr>
      <w:r>
        <w:rPr>
          <w:b w:val="0"/>
          <w:i w:val="0"/>
        </w:rPr>
        <w:t>* увеличение шейных лимфоузлов.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заметили увеличение шейных лимфоузлов. По месту жительства в гемограмме выявлен лейкоцитоз до 200 тыс/мкл, бластные клетки.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родов. Течение беременности на фоне сахарного диабета 1 типа. Роды естественные, срочные. Вес при рождении ‒ 3890 г. Рост ‒ 56 см. БЦЖ и гепатит В ‒ вакцинирован в род.доме. Естественное вскармливание до настоящего момента.</w:t>
      </w:r>
    </w:p>
    <w:p>
      <w:pPr>
        <w:spacing w:after="58"/>
      </w:pPr>
      <w:r>
        <w:rPr>
          <w:b w:val="0"/>
          <w:i w:val="0"/>
        </w:rPr>
        <w:t>* Перенесенные инфекции: отсутствуют.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– 59 см, вес – 5,61 кг. ЧСС – 124/мин, ЧД – 31/мин, SpO2 – 99%, АД – 101/45, t – 36,3ºС.</w:t>
      </w:r>
    </w:p>
    <w:p>
      <w:pPr>
        <w:spacing w:after="58"/>
      </w:pPr>
      <w:r>
        <w:rPr>
          <w:b w:val="0"/>
          <w:i w:val="0"/>
        </w:rPr>
        <w:t>Состояние тяжелое по заболеванию. Афебрилен. Самочувствие существенно не нарушено. Положение естественное. Телосложение нормостеническое. Кожные покровы бледные, чистые от сыпи, геморрагического синдрома нет. Слизистые оболочки розовые, чистые. Костно-мышечная система без видимых пороков и деформаций. Большой родничок выполнен, не напряжен. Пальпируются шейные л/у 15мм в диаметре, плотные, б/б. Тоны сердца ясные, ритмичные, небольшая тахикардия, гемодинамика удовлетворительная. Носовое дыхание свободное. Аускультативно в легких дыхание пуэрильное, равномерно проводится во все отделы. Хрипов и одышки нет. Аппетит снижен, сосет вяло, мало, не срыгивает. Живот обычной формы и размеров, при пальпации мягкий, б/б. Селезёнка +3 см, печень +2 см. Мочеиспускание не нарушено, диурез недостаточный.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 диагностической целью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 с лейкоцитарной формулой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иммунофенотипирование клеток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цитохимическое исследование мазков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биопсию лимфоузла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нейросонографию с оценкой мозгового кровотока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 с лейкоцитарной формулой; 3 — иммунофенотипирование клеток костного мозга; 4 — цитологическое и цитохимическое исследование мазков костного мозга</w:t>
      </w:r>
    </w:p>
    <w:p>
      <w:pPr>
        <w:ind w:left="504"/>
      </w:pPr>
      <w:r>
        <w:rPr>
          <w:b w:val="0"/>
          <w:i/>
        </w:rPr>
        <w:t>Общий клинический (развернутый) анализ крови с обязательным цитологическим исследованием мазков рекомендуется у всех пациентов при подозрении на острый лейкоз. ОАК на первых этапах диагностики нужен для определения направлений диагностического поиска. Кроме того, данные ОАК позволяют судить о выраженности тромбоцитопении и анемии и необходимости проведения заместительной терапии компонентами крови. Общее количество лейкоцитов и наличие бластных клеток в периферической крови необходимо для последующего стадирования, определения группы риска и назначения адекватной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  <w:br/>
        <w:br/>
        <w:t>Мультипараметрическая проточная цитометрия, проводимая, с целью точного определения иммунофенотипа лейкемического клона позволяет провести дифференциальную диагностику с ОМЛ и MPAL, является очень важным и обязательным методом для диагностики различных вариантов ОЛЛ, для стратификации на группы риска и для последующего определения минимальной остаточной болезни (МОБ).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  <w:br/>
        <w:br/>
        <w:t>Диагноз ОЛЛ ставится на основании обнаружения в пунктате костного мозга более 25% лейкемических клеток, для которых морфологически и цитохимически доказан один из вариантов лимфоидной дифференцировки.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предпочтительным для костномозговой пункции местом у этого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подвздошный гребень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остистый отросток позвонка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бугристость большеберцовой 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бугристость большеберцовой кости</w:t>
      </w:r>
    </w:p>
    <w:p>
      <w:pPr>
        <w:ind w:left="504"/>
      </w:pPr>
      <w:r>
        <w:rPr>
          <w:b w:val="0"/>
          <w:i/>
        </w:rPr>
        <w:t>У детей младше года для проведения костномозговых пункций используются бугристость большеберцовой кости и пяточная кость.</w:t>
        <w:br/>
        <w:br/>
        <w:t>Педиатрия / под ред. А. А. Баранова - Москва : ГЭОТАР-Медиа, 2014. - 768 с. - ISBN 978-5-9704-2787-3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вен шеи (с допплерографией)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цитогенетическое и молекулярно-генетическое исследование бластных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ДЭБ-тест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цитогенетическое и молекулярно-генетическое исследование бластных клеток; 5 — исследование спинномозговой жидкости</w:t>
      </w:r>
    </w:p>
    <w:p>
      <w:pPr>
        <w:ind w:left="504"/>
      </w:pPr>
      <w:r>
        <w:rPr>
          <w:b w:val="0"/>
          <w:i/>
        </w:rPr>
        <w:t>Цитогенетическое и молекулярно-генетическое исследование бластных клеток рекомендуется у всех пациентов с ОЛЛ.</w:t>
        <w:br/>
        <w:br/>
        <w:t>Цитогенетическое исследование лейкемических клеток должно обязательно включать в себя кариотипирование, исследование методом флуоресцентной _in__ __situ_ гибридизации (FISH) и ОТ-ПЦР для выявления всего спектра характерных перестроек.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Исследование ликвора обязательно для подтверждения/исключения диагноза поражения ЦНС (нейролейкемии), что необходимо для точного определения группы риска и назначения адекватной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Предполагаемый основной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билинейный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бифенотипический лейкоз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лимфобластный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Лимфобластная лимфома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Острый лимфобластный лейкоз</w:t>
      </w:r>
    </w:p>
    <w:p>
      <w:pPr>
        <w:ind w:left="504"/>
      </w:pPr>
      <w:r>
        <w:rPr>
          <w:b w:val="0"/>
          <w:i/>
        </w:rPr>
        <w:t>На основании данных обследования (в миелограмме 95% анаплазированных бластных клеток по морфологическим и цитохимическим характеристикам соответствующих опухолевым лимфобластам (L1-L2); при иммунофенотипировании выявлена популяция опухолевых клеток с иммунофенотипом BI; по данным молекулярно-гентического исследования выявлена t(4;11)(q21;q23)) пациенту поставлен диагноз: Острый лимфобластный лейкоз, BI-вариант, t(4;11), 1 острый период.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Статус ЦНС в этом случае расценивается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ЦНС 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ЦНС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ЦНС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ЦНС 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ЦНС 2</w:t>
      </w:r>
    </w:p>
    <w:p>
      <w:pPr>
        <w:ind w:left="504"/>
      </w:pPr>
      <w:r>
        <w:rPr>
          <w:b w:val="0"/>
          <w:i/>
        </w:rPr>
        <w:t>В результате анализа ликвора возможны следующие варианты:</w:t>
        <w:br/>
        <w:br/>
        <w:t>* ЦНС1 – пункция не травматичная (&lt;10 эритроцитов/мкл), &lt;10 лейкоцитов/мкл, отсутствие лейкемических клеток;</w:t>
        <w:br/>
        <w:br/>
        <w:t>* ЦНС2 – пункция не травматична (&lt;10 эритроцитов/мкл), &lt;10 лейкоцитов/мкл, возможно наличие лейкемических клеток;</w:t>
        <w:br/>
        <w:br/>
        <w:t>* ЦНС3 – пункция не травматична, ≥10 лейкоцитов/мкл, наличие лейкемических клеток после цитоцентрифугирования.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Терапия ОЛЛ начинается с фазы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консолидации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поддерживающей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индукции</w:t>
      </w:r>
    </w:p>
    <w:p>
      <w:pPr>
        <w:ind w:left="504"/>
      </w:pPr>
      <w:r>
        <w:rPr>
          <w:b w:val="0"/>
          <w:i/>
        </w:rPr>
        <w:t>Современное лечение ОЛЛ состоит из нескольких основных фаз: индукция ремиссии с помощью 4 и более агентов, вводимых в течение 4-6 недель, мультиагентная консолидация («закрепление») ремиссии и поддерживающая терапия, как правило, антиметаболитами в течение 2-3 лет. Краниальное облучение проводится отдельным категориям больных после фазы консолидации, перед началом поддерживающей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Расчет дозы химиопрепаратов у данного ребенка будет проводиться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площадь поверхности тела в м2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в месяцах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в годах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 пациента в 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площадь поверхности тела в м2</w:t>
      </w:r>
    </w:p>
    <w:p>
      <w:pPr>
        <w:ind w:left="504"/>
      </w:pPr>
      <w:r>
        <w:rPr>
          <w:b w:val="0"/>
          <w:i/>
        </w:rPr>
        <w:t>Расчет химиотерапии у детей проводится на площадь поверхности тела в м2.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Данному пациенту будет вводиться +_____+ от расчетной дозы химиопрепаратов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2/3</w:t>
      </w:r>
    </w:p>
    <w:p>
      <w:pPr>
        <w:ind w:left="504"/>
      </w:pPr>
      <w:r>
        <w:rPr>
          <w:b w:val="0"/>
          <w:i/>
        </w:rPr>
        <w:t>У детей младше 1 года доза химиопрепаратов пересчитывается следующим образом:</w:t>
        <w:br/>
        <w:br/>
        <w:t>За основу берется расчетная доза на 1 м2 поверхности тела. У детей младше 6 месяцев используется 2/3 расчетной дозы; старше 6 месяцев – ¾ от расчетной дозы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Перерасчет площади поверхности тела при лечении ОЛЛ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началом каждого терапевтического элемента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– перед началом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перед началом каждого терапевтического элемента</w:t>
      </w:r>
    </w:p>
    <w:p>
      <w:pPr>
        <w:ind w:left="504"/>
      </w:pPr>
      <w:r>
        <w:rPr>
          <w:b w:val="0"/>
          <w:i/>
        </w:rPr>
        <w:t>Площадь поверхности тела для расчета доз лекарственных препаратов пересчитывается заново перед началом каждой фазы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Терапию глюкокортикостероидами необходимо начать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1/2 от суточной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полной суточной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1/3 от суточной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1/10 – 1/8 от суточной дозы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1/10 – 1/8 от суточной дозы</w:t>
      </w:r>
    </w:p>
    <w:p>
      <w:pPr>
        <w:ind w:left="504"/>
      </w:pPr>
      <w:r>
        <w:rPr>
          <w:b w:val="0"/>
          <w:i/>
        </w:rPr>
        <w:t>При наличии большой массы лейкемических клеток (в данном случае лейкоциты в ОАК ‒ 250×109/л) первая доза глюкокортикостероидов для профилактики синдрома острого лизиса опухоли (СОЛ) должна составлять 1/10 – 1/8 от суточной дозы.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Каждые 12 часов в первые дни терапии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основные биохимические показатели – мочевину, креатинин, электролиты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показатели коагулограммы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основные биохимические показатели – мочевину, креатинин, электролиты</w:t>
      </w:r>
    </w:p>
    <w:p>
      <w:pPr>
        <w:ind w:left="504"/>
      </w:pPr>
      <w:r>
        <w:rPr>
          <w:b w:val="0"/>
          <w:i/>
        </w:rPr>
        <w:t>В первые дни терапии (когда имеется большая масса опухоли), во избежание осложнений (развития синдрома лизиса опухоли), необходимо проводить тщательный контроль общего состояния пациента, динамики уровня лейкоцитов, диуреза каждые 6 ч., мочевины, креатинина и электролитов – каждые 12 ч с возможной коррекцией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первые дни терапии во избежание повреждения почек продуктами распада клеток необходимо поддерживать рН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нейтральным или слабокислым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нейтральным или слабощелочным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нейтральным или слабощелочным</w:t>
      </w:r>
    </w:p>
    <w:p>
      <w:pPr>
        <w:ind w:left="504"/>
      </w:pPr>
      <w:r>
        <w:rPr>
          <w:b w:val="0"/>
          <w:i/>
        </w:rPr>
        <w:t>Учитывая более низкую растворимость мочевой кислоты в кислой среде, необходимо обеспечить поддержание нейтрального или слабощелочного рН мочи. Но щелочная среда, напротив, благоприятствует выпадению в осадок фосфата кальция. Кроме того, при pH&gt;7,5 может кристаллизоваться гипоксантин. Следовательно, перезащелачивание мочи тоже может благоприятствовать выпадению продуктов клеточного распада.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онкология-гематология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529_2/" TargetMode="External"/><Relationship Id="rId23" Type="http://schemas.openxmlformats.org/officeDocument/2006/relationships/hyperlink" Target="https://library.mededtech.ru/rest/documents/KP529_2/#list_item_roiak2" TargetMode="External"/><Relationship Id="rId24" Type="http://schemas.openxmlformats.org/officeDocument/2006/relationships/hyperlink" Target="https://library.mededtech.ru/rest/documents/KP529_2/#list_item_840ba3" TargetMode="External"/><Relationship Id="rId25" Type="http://schemas.openxmlformats.org/officeDocument/2006/relationships/hyperlink" Target="https://library.mededtech.ru/rest/documents/KP529_2/#list_item_5k1opo" TargetMode="External"/><Relationship Id="rId26" Type="http://schemas.openxmlformats.org/officeDocument/2006/relationships/hyperlink" Target="https://library.mededtech.ru/rest/documents/ISBN9785970427873/?anchor=paragraph_ub6qtu#paragraph_ub6qtu" TargetMode="External"/><Relationship Id="rId27" Type="http://schemas.openxmlformats.org/officeDocument/2006/relationships/hyperlink" Target="https://library.mededtech.ru/rest/documents/KP529_2/#paragraph_q265a0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529_2/#list_item_jnk48r" TargetMode="External"/><Relationship Id="rId30" Type="http://schemas.openxmlformats.org/officeDocument/2006/relationships/hyperlink" Target="https://library.mededtech.ru/rest/documents/KP529_2/#list_item_lhcl77" TargetMode="External"/><Relationship Id="rId31" Type="http://schemas.openxmlformats.org/officeDocument/2006/relationships/hyperlink" Target="https://library.mededtech.ru/rest/documents/KP529_2/#tab2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529_2/#paragraph_8n5ahh" TargetMode="External"/><Relationship Id="rId34" Type="http://schemas.openxmlformats.org/officeDocument/2006/relationships/hyperlink" Target="https://library.mededtech.ru/rest/documents/KP529_2/#paragraph_2c55k6" TargetMode="External"/><Relationship Id="rId35" Type="http://schemas.openxmlformats.org/officeDocument/2006/relationships/hyperlink" Target="https://library.mededtech.ru/rest/documents/KP529_2/#paragraph_6c6d1b" TargetMode="External"/><Relationship Id="rId36" Type="http://schemas.openxmlformats.org/officeDocument/2006/relationships/hyperlink" Target="https://library.mededtech.ru/rest/documents/KP529_2/#paragraph_orfncl" TargetMode="External"/><Relationship Id="rId37" Type="http://schemas.openxmlformats.org/officeDocument/2006/relationships/hyperlink" Target="https://library.mededtech.ru/rest/documents/KP529_2/#paragraph_arho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